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2"/>
          <w:szCs w:val="22"/>
        </w:rPr>
      </w:pPr>
      <w:r>
        <w:rPr>
          <w:sz w:val="22"/>
          <w:szCs w:val="22"/>
          <w:rtl w:val="0"/>
          <w:lang w:val="en-US"/>
        </w:rPr>
        <w:t>May 2019 Administrative Board Meeting</w:t>
      </w:r>
    </w:p>
    <w:p>
      <w:pPr>
        <w:pStyle w:val="Body"/>
      </w:pPr>
    </w:p>
    <w:p>
      <w:pPr>
        <w:pStyle w:val="Body"/>
        <w:rPr>
          <w:rFonts w:ascii="Calibri" w:cs="Calibri" w:hAnsi="Calibri" w:eastAsia="Calibri"/>
          <w:b w:val="1"/>
          <w:bCs w:val="1"/>
          <w:u w:val="single"/>
        </w:rPr>
      </w:pPr>
      <w:r>
        <w:rPr>
          <w:rFonts w:ascii="Calibri" w:cs="Calibri" w:hAnsi="Calibri" w:eastAsia="Calibri"/>
          <w:b w:val="1"/>
          <w:bCs w:val="1"/>
          <w:u w:val="single"/>
          <w:rtl w:val="0"/>
          <w:lang w:val="en-US"/>
        </w:rPr>
        <w:t xml:space="preserve">General Budget: </w:t>
      </w:r>
      <w:r>
        <w:rPr>
          <w:rFonts w:ascii="Calibri" w:cs="Calibri" w:hAnsi="Calibri" w:eastAsia="Calibri"/>
          <w:b w:val="1"/>
          <w:bCs w:val="1"/>
          <w:rtl w:val="0"/>
          <w:lang w:val="en-US"/>
        </w:rPr>
        <w:t>As of the close of April 2019</w:t>
      </w:r>
    </w:p>
    <w:p>
      <w:pPr>
        <w:pStyle w:val="Body"/>
      </w:pPr>
    </w:p>
    <w:p>
      <w:pPr>
        <w:pStyle w:val="Body"/>
      </w:pPr>
    </w:p>
    <w:tbl>
      <w:tblPr>
        <w:tblW w:w="88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40"/>
        <w:gridCol w:w="1762"/>
        <w:gridCol w:w="1489"/>
        <w:gridCol w:w="1971"/>
        <w:gridCol w:w="1810"/>
      </w:tblGrid>
      <w:tr>
        <w:tblPrEx>
          <w:shd w:val="clear" w:color="auto" w:fill="cdd4e9"/>
        </w:tblPrEx>
        <w:trPr>
          <w:trHeight w:val="850" w:hRule="atLeast"/>
        </w:trPr>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rPr>
              <w:t>April</w:t>
            </w:r>
          </w:p>
          <w:p>
            <w:pPr>
              <w:pStyle w:val="Body"/>
            </w:pPr>
            <w:r>
              <w:rPr>
                <w:rtl w:val="0"/>
                <w:lang w:val="en-US"/>
              </w:rPr>
              <w:t>Actual</w:t>
            </w:r>
            <w:r>
              <w:rPr>
                <w:rtl w:val="0"/>
                <w:lang w:val="en-US"/>
              </w:rPr>
              <w:t xml:space="preserve"> Amounts </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April</w:t>
            </w:r>
            <w:r>
              <w:rPr>
                <w:rtl w:val="0"/>
                <w:lang w:val="en-US"/>
              </w:rPr>
              <w:t xml:space="preserve"> </w:t>
            </w:r>
            <w:r>
              <w:rPr>
                <w:rtl w:val="0"/>
                <w:lang w:val="en-US"/>
              </w:rPr>
              <w:t>Budget</w:t>
            </w:r>
            <w:r>
              <w:rPr>
                <w:rtl w:val="0"/>
                <w:lang w:val="en-US"/>
              </w:rPr>
              <w:t>ed Amounts</w:t>
            </w:r>
          </w:p>
        </w:tc>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Y</w:t>
            </w:r>
            <w:r>
              <w:rPr>
                <w:rtl w:val="0"/>
                <w:lang w:val="en-US"/>
              </w:rPr>
              <w:t>ear To Date</w:t>
            </w:r>
            <w:r>
              <w:rPr>
                <w:rtl w:val="0"/>
                <w:lang w:val="en-US"/>
              </w:rPr>
              <w:t xml:space="preserve"> Actual</w:t>
            </w:r>
            <w:r>
              <w:rPr>
                <w:rtl w:val="0"/>
                <w:lang w:val="en-US"/>
              </w:rPr>
              <w:t xml:space="preserve"> Amounts</w:t>
            </w:r>
          </w:p>
        </w:tc>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rPr>
              <w:t xml:space="preserve">Year to Date </w:t>
            </w:r>
            <w:r>
              <w:rPr>
                <w:rtl w:val="0"/>
                <w:lang w:val="en-US"/>
              </w:rPr>
              <w:t>Budget</w:t>
            </w:r>
            <w:r>
              <w:rPr>
                <w:rtl w:val="0"/>
                <w:lang w:val="en-US"/>
              </w:rPr>
              <w:t>ed Amounts</w:t>
            </w:r>
          </w:p>
        </w:tc>
      </w:tr>
      <w:tr>
        <w:tblPrEx>
          <w:shd w:val="clear" w:color="auto" w:fill="cdd4e9"/>
        </w:tblPrEx>
        <w:trPr>
          <w:trHeight w:val="290" w:hRule="atLeast"/>
        </w:trPr>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 xml:space="preserve"> Income</w:t>
            </w:r>
          </w:p>
        </w:tc>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11, 119.53</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13,333.33</w:t>
            </w:r>
          </w:p>
        </w:tc>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$52,127.67</w:t>
            </w:r>
          </w:p>
        </w:tc>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$53,333.32</w:t>
            </w:r>
          </w:p>
        </w:tc>
      </w:tr>
      <w:tr>
        <w:tblPrEx>
          <w:shd w:val="clear" w:color="auto" w:fill="cdd4e9"/>
        </w:tblPrEx>
        <w:trPr>
          <w:trHeight w:val="290" w:hRule="atLeast"/>
        </w:trPr>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 xml:space="preserve"> Expenses</w:t>
            </w:r>
          </w:p>
        </w:tc>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12,868.05</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14,248.81</w:t>
            </w:r>
          </w:p>
        </w:tc>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$67,830.15</w:t>
            </w:r>
          </w:p>
        </w:tc>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$56.995.24</w:t>
            </w:r>
          </w:p>
        </w:tc>
      </w:tr>
      <w:tr>
        <w:tblPrEx>
          <w:shd w:val="clear" w:color="auto" w:fill="cdd4e9"/>
        </w:tblPrEx>
        <w:trPr>
          <w:trHeight w:val="290" w:hRule="atLeast"/>
        </w:trPr>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 xml:space="preserve"> Balance</w:t>
            </w:r>
          </w:p>
        </w:tc>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($1,748.52)</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($915.48)</w:t>
            </w:r>
          </w:p>
        </w:tc>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($15,707.48)</w:t>
            </w:r>
          </w:p>
        </w:tc>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($3,661.92)</w:t>
            </w:r>
          </w:p>
        </w:tc>
      </w:tr>
    </w:tbl>
    <w:p>
      <w:pPr>
        <w:pStyle w:val="Body"/>
        <w:widowControl w:val="0"/>
      </w:pPr>
    </w:p>
    <w:p>
      <w:pPr>
        <w:pStyle w:val="Body"/>
      </w:pPr>
    </w:p>
    <w:p>
      <w:pPr>
        <w:pStyle w:val="List Paragraph"/>
      </w:pPr>
    </w:p>
    <w:p>
      <w:pPr>
        <w:pStyle w:val="Body"/>
        <w:rPr>
          <w:rFonts w:ascii="Calibri" w:cs="Calibri" w:hAnsi="Calibri" w:eastAsia="Calibri"/>
          <w:b w:val="1"/>
          <w:bCs w:val="1"/>
          <w:u w:val="single"/>
        </w:rPr>
      </w:pPr>
      <w:r>
        <w:rPr>
          <w:rFonts w:ascii="Calibri" w:cs="Calibri" w:hAnsi="Calibri" w:eastAsia="Calibri"/>
          <w:b w:val="1"/>
          <w:bCs w:val="1"/>
          <w:u w:val="single"/>
          <w:rtl w:val="0"/>
          <w:lang w:val="de-DE"/>
        </w:rPr>
        <w:t>Net Assets   CASH</w:t>
      </w:r>
    </w:p>
    <w:p>
      <w:pPr>
        <w:pStyle w:val="List Paragraph"/>
        <w:numPr>
          <w:ilvl w:val="0"/>
          <w:numId w:val="2"/>
        </w:numPr>
        <w:rPr>
          <w:lang w:val="en-US"/>
        </w:rPr>
      </w:pPr>
      <w:r>
        <w:rPr>
          <w:rtl w:val="0"/>
          <w:lang w:val="en-US"/>
        </w:rPr>
        <w:t>3200: YTD Restricted Funds and Endowments: $106,117.95</w:t>
      </w:r>
    </w:p>
    <w:p>
      <w:pPr>
        <w:pStyle w:val="List Paragraph"/>
        <w:numPr>
          <w:ilvl w:val="0"/>
          <w:numId w:val="2"/>
        </w:numPr>
        <w:rPr>
          <w:lang w:val="en-US"/>
        </w:rPr>
      </w:pPr>
      <w:r>
        <w:rPr>
          <w:rtl w:val="0"/>
          <w:lang w:val="en-US"/>
        </w:rPr>
        <w:t>3100 :Unrestricted Checking Balance:  $</w:t>
      </w:r>
      <w:r>
        <w:rPr>
          <w:rtl w:val="0"/>
          <w:lang w:val="en-US"/>
        </w:rPr>
        <w:t>9,580.40</w:t>
      </w:r>
      <w:r>
        <w:rPr>
          <w:rtl w:val="0"/>
          <w:lang w:val="en-US"/>
        </w:rPr>
        <w:t xml:space="preserve">  (General Budget)</w:t>
      </w:r>
    </w:p>
    <w:p>
      <w:pPr>
        <w:pStyle w:val="List Paragraph"/>
        <w:numPr>
          <w:ilvl w:val="0"/>
          <w:numId w:val="2"/>
        </w:numPr>
        <w:rPr>
          <w:lang w:val="en-US"/>
        </w:rPr>
      </w:pPr>
      <w:r>
        <w:rPr>
          <w:rtl w:val="0"/>
          <w:lang w:val="en-US"/>
        </w:rPr>
        <w:t>YTD Total Net Assets: $116,203.74</w:t>
      </w:r>
    </w:p>
    <w:p>
      <w:pPr>
        <w:pStyle w:val="List Paragraph"/>
        <w:ind w:left="0" w:firstLine="0"/>
      </w:pPr>
    </w:p>
    <w:p>
      <w:pPr>
        <w:pStyle w:val="List Paragraph"/>
        <w:numPr>
          <w:ilvl w:val="0"/>
          <w:numId w:val="4"/>
        </w:numPr>
        <w:rPr>
          <w:lang w:val="en-US"/>
        </w:rPr>
      </w:pPr>
      <w:r>
        <w:rPr>
          <w:rtl w:val="0"/>
          <w:lang w:val="en-US"/>
        </w:rPr>
        <w:t>“</w:t>
      </w:r>
      <w:r>
        <w:rPr>
          <w:rtl w:val="0"/>
          <w:lang w:val="en-US"/>
        </w:rPr>
        <w:t>Actual Amounts</w:t>
      </w:r>
      <w:r>
        <w:rPr>
          <w:rtl w:val="0"/>
          <w:lang w:val="en-US"/>
        </w:rPr>
        <w:t xml:space="preserve">” </w:t>
      </w:r>
      <w:r>
        <w:rPr>
          <w:rtl w:val="0"/>
          <w:lang w:val="en-US"/>
        </w:rPr>
        <w:t>represent TUMC</w:t>
      </w:r>
      <w:r>
        <w:rPr>
          <w:rtl w:val="0"/>
          <w:lang w:val="en-US"/>
        </w:rPr>
        <w:t>’</w:t>
      </w:r>
      <w:r>
        <w:rPr>
          <w:rtl w:val="0"/>
          <w:lang w:val="en-US"/>
        </w:rPr>
        <w:t xml:space="preserve">s INCOME received through our tithes and offerings.  The EXPENSES reflect the sum of invoices paid from this income.  </w:t>
      </w:r>
    </w:p>
    <w:p>
      <w:pPr>
        <w:pStyle w:val="List Paragraph"/>
        <w:numPr>
          <w:ilvl w:val="0"/>
          <w:numId w:val="4"/>
        </w:numPr>
        <w:rPr>
          <w:lang w:val="en-US"/>
        </w:rPr>
      </w:pPr>
      <w:r>
        <w:rPr>
          <w:rtl w:val="0"/>
          <w:lang w:val="en-US"/>
        </w:rPr>
        <w:t>“</w:t>
      </w:r>
      <w:r>
        <w:rPr>
          <w:rtl w:val="0"/>
          <w:lang w:val="en-US"/>
        </w:rPr>
        <w:t>Budgeted Amounts</w:t>
      </w:r>
      <w:r>
        <w:rPr>
          <w:rtl w:val="0"/>
          <w:lang w:val="en-US"/>
        </w:rPr>
        <w:t xml:space="preserve">” </w:t>
      </w:r>
      <w:r>
        <w:rPr>
          <w:rtl w:val="0"/>
          <w:lang w:val="en-US"/>
        </w:rPr>
        <w:t xml:space="preserve">represent the Income anticipated based on the average  amount of tithes and offerings received the past 3 years.  Expenses are determined the same way except for where we know of increased or decreased cost of operation.  </w:t>
      </w:r>
    </w:p>
    <w:p>
      <w:pPr>
        <w:pStyle w:val="List Paragraph"/>
        <w:numPr>
          <w:ilvl w:val="0"/>
          <w:numId w:val="4"/>
        </w:numPr>
        <w:rPr>
          <w:lang w:val="en-US"/>
        </w:rPr>
      </w:pPr>
      <w:r>
        <w:rPr>
          <w:rtl w:val="0"/>
          <w:lang w:val="en-US"/>
        </w:rPr>
        <w:t>Important!!!  TUMC traditionally receives 22% of its income in November and December.  Also keep in mind that our budgeted total expenses are divided equally across the twelve months of the budget-year.  This means that we play catch-up in November and December.</w:t>
      </w:r>
    </w:p>
    <w:p>
      <w:pPr>
        <w:pStyle w:val="List Paragraph"/>
        <w:numPr>
          <w:ilvl w:val="0"/>
          <w:numId w:val="4"/>
        </w:numPr>
        <w:rPr>
          <w:lang w:val="en-US"/>
        </w:rPr>
      </w:pPr>
      <w:r>
        <w:rPr>
          <w:rtl w:val="0"/>
          <w:lang w:val="en-US"/>
        </w:rPr>
        <w:t xml:space="preserve">January-October target for tithes and offering per week.  $2790.69 </w:t>
      </w:r>
    </w:p>
    <w:p>
      <w:pPr>
        <w:pStyle w:val="List Paragraph"/>
        <w:numPr>
          <w:ilvl w:val="0"/>
          <w:numId w:val="4"/>
        </w:numPr>
        <w:rPr>
          <w:lang w:val="en-US"/>
        </w:rPr>
      </w:pPr>
      <w:r>
        <w:rPr>
          <w:rtl w:val="0"/>
          <w:lang w:val="en-US"/>
        </w:rPr>
        <w:t xml:space="preserve">November -December target  for tithes and offerings per week.  $4,056  </w:t>
      </w:r>
    </w:p>
    <w:p>
      <w:pPr>
        <w:pStyle w:val="List Paragraph"/>
        <w:ind w:left="0" w:firstLine="0"/>
      </w:pPr>
    </w:p>
    <w:p>
      <w:pPr>
        <w:pStyle w:val="List Paragraph"/>
        <w:ind w:left="0" w:firstLine="0"/>
      </w:pPr>
    </w:p>
    <w:p>
      <w:pPr>
        <w:pStyle w:val="List Paragraph"/>
        <w:ind w:left="0" w:firstLine="0"/>
      </w:pPr>
      <w:r>
        <w:rPr>
          <w:b w:val="1"/>
          <w:bCs w:val="1"/>
          <w:u w:val="single"/>
          <w:rtl w:val="0"/>
          <w:lang w:val="en-US"/>
        </w:rPr>
        <w:t>From the Board of Trustees:</w:t>
      </w:r>
      <w:r>
        <w:rPr>
          <w:rtl w:val="0"/>
          <w:lang w:val="en-US"/>
        </w:rPr>
        <w:t xml:space="preserve">  Thank the Board of Trustees for shopping Insurance rates.  We accepted a bid from Southern Mutual that saved the congregation $2500 a year in premiums.  </w:t>
      </w:r>
    </w:p>
    <w:p>
      <w:pPr>
        <w:pStyle w:val="List Paragraph"/>
        <w:ind w:left="0" w:firstLine="0"/>
      </w:pPr>
    </w:p>
    <w:p>
      <w:pPr>
        <w:pStyle w:val="List Paragraph"/>
        <w:ind w:left="0" w:firstLine="0"/>
        <w:rPr>
          <w:b w:val="1"/>
          <w:bCs w:val="1"/>
          <w:u w:val="single"/>
        </w:rPr>
      </w:pPr>
      <w:r>
        <w:rPr>
          <w:b w:val="1"/>
          <w:bCs w:val="1"/>
          <w:u w:val="single"/>
          <w:rtl w:val="0"/>
          <w:lang w:val="en-US"/>
        </w:rPr>
        <w:t xml:space="preserve">From the Administrative Board: </w:t>
      </w:r>
    </w:p>
    <w:p>
      <w:pPr>
        <w:pStyle w:val="List Paragraph"/>
        <w:ind w:left="0" w:firstLine="0"/>
        <w:rPr>
          <w:b w:val="0"/>
          <w:bCs w:val="0"/>
          <w:u w:val="none"/>
        </w:rPr>
      </w:pPr>
      <w:r>
        <w:rPr>
          <w:b w:val="0"/>
          <w:bCs w:val="0"/>
          <w:u w:val="none"/>
          <w:rtl w:val="0"/>
          <w:lang w:val="en-US"/>
        </w:rPr>
        <w:t>1. At our May meeting the board had a lengthy conversation regarding TUMC</w:t>
      </w:r>
      <w:r>
        <w:rPr>
          <w:b w:val="0"/>
          <w:bCs w:val="0"/>
          <w:u w:val="none"/>
          <w:rtl w:val="0"/>
          <w:lang w:val="en-US"/>
        </w:rPr>
        <w:t>’</w:t>
      </w:r>
      <w:r>
        <w:rPr>
          <w:b w:val="0"/>
          <w:bCs w:val="0"/>
          <w:u w:val="none"/>
          <w:rtl w:val="0"/>
          <w:lang w:val="en-US"/>
        </w:rPr>
        <w:t xml:space="preserve">s investments with The Holston Conference Foundation.  Brenda Mills, from the Foundation, provided us with information that helped us understand the difference between investing in an Endowment and a Growth Fund.  We are finalizing the official documents to maximize the benefits of The Kelly Toney Youth Fund and The Becky Sandt Music Fund. Please remember that you my give an offering designated to either of these funds.  </w:t>
      </w:r>
    </w:p>
    <w:p>
      <w:pPr>
        <w:pStyle w:val="List Paragraph"/>
        <w:ind w:left="0" w:firstLine="0"/>
        <w:rPr>
          <w:b w:val="0"/>
          <w:bCs w:val="0"/>
          <w:u w:val="none"/>
        </w:rPr>
      </w:pPr>
    </w:p>
    <w:p>
      <w:pPr>
        <w:pStyle w:val="List Paragraph"/>
        <w:ind w:left="0" w:firstLine="0"/>
        <w:rPr>
          <w:b w:val="0"/>
          <w:bCs w:val="0"/>
          <w:u w:val="none"/>
        </w:rPr>
      </w:pPr>
      <w:r>
        <w:rPr>
          <w:b w:val="0"/>
          <w:bCs w:val="0"/>
          <w:u w:val="none"/>
          <w:rtl w:val="0"/>
          <w:lang w:val="en-US"/>
        </w:rPr>
        <w:t xml:space="preserve">The Foundation requires a minimum of $25,000 to be invested in Endowment Accounts prior to  disbursement of 5% of the 3 year rolling average.  Neither of these accounts come close to meeting the minimum.  </w:t>
      </w:r>
    </w:p>
    <w:p>
      <w:pPr>
        <w:pStyle w:val="List Paragraph"/>
        <w:ind w:left="0" w:firstLine="0"/>
        <w:rPr>
          <w:b w:val="0"/>
          <w:bCs w:val="0"/>
          <w:u w:val="none"/>
        </w:rPr>
      </w:pPr>
    </w:p>
    <w:p>
      <w:pPr>
        <w:pStyle w:val="List Paragraph"/>
        <w:ind w:left="0" w:firstLine="0"/>
        <w:rPr>
          <w:b w:val="0"/>
          <w:bCs w:val="0"/>
          <w:u w:val="none"/>
        </w:rPr>
      </w:pPr>
      <w:r>
        <w:rPr>
          <w:b w:val="0"/>
          <w:bCs w:val="0"/>
          <w:u w:val="none"/>
          <w:rtl w:val="0"/>
          <w:lang w:val="en-US"/>
        </w:rPr>
        <w:t>The Board will also complete new Signature Cards for our accounts with The Holston Conference Foundation.</w:t>
      </w:r>
    </w:p>
    <w:p>
      <w:pPr>
        <w:pStyle w:val="List Paragraph"/>
        <w:ind w:left="0" w:firstLine="0"/>
        <w:rPr>
          <w:b w:val="0"/>
          <w:bCs w:val="0"/>
          <w:u w:val="none"/>
        </w:rPr>
      </w:pPr>
    </w:p>
    <w:p>
      <w:pPr>
        <w:pStyle w:val="List Paragraph"/>
        <w:ind w:left="0" w:firstLine="0"/>
        <w:rPr>
          <w:b w:val="0"/>
          <w:bCs w:val="0"/>
          <w:u w:val="none"/>
        </w:rPr>
      </w:pPr>
      <w:r>
        <w:rPr>
          <w:b w:val="0"/>
          <w:bCs w:val="0"/>
          <w:u w:val="none"/>
          <w:rtl w:val="0"/>
          <w:lang w:val="en-US"/>
        </w:rPr>
        <w:t>2. The Board approved a preventive maintenance contract with Mid-Mountain Heating and Cooling.  We anticipate preventive maintenance lowering the total Trustee</w:t>
      </w:r>
      <w:r>
        <w:rPr>
          <w:b w:val="0"/>
          <w:bCs w:val="0"/>
          <w:u w:val="none"/>
          <w:rtl w:val="0"/>
          <w:lang w:val="en-US"/>
        </w:rPr>
        <w:t>’</w:t>
      </w:r>
      <w:r>
        <w:rPr>
          <w:b w:val="0"/>
          <w:bCs w:val="0"/>
          <w:u w:val="none"/>
          <w:rtl w:val="0"/>
          <w:lang w:val="en-US"/>
        </w:rPr>
        <w:t>s Repair and Maintenance Annual Expenses.</w:t>
      </w:r>
    </w:p>
    <w:p>
      <w:pPr>
        <w:pStyle w:val="List Paragraph"/>
        <w:ind w:left="0" w:firstLine="0"/>
        <w:rPr>
          <w:b w:val="0"/>
          <w:bCs w:val="0"/>
          <w:u w:val="none"/>
        </w:rPr>
      </w:pPr>
    </w:p>
    <w:p>
      <w:pPr>
        <w:pStyle w:val="List Paragraph"/>
        <w:ind w:left="0" w:firstLine="0"/>
        <w:rPr>
          <w:b w:val="0"/>
          <w:bCs w:val="0"/>
          <w:u w:val="none"/>
        </w:rPr>
      </w:pPr>
    </w:p>
    <w:p>
      <w:pPr>
        <w:pStyle w:val="List Paragraph"/>
        <w:ind w:left="0" w:firstLine="0"/>
        <w:rPr>
          <w:b w:val="0"/>
          <w:bCs w:val="0"/>
          <w:u w:val="none"/>
        </w:rPr>
      </w:pPr>
    </w:p>
    <w:p>
      <w:pPr>
        <w:pStyle w:val="List Paragraph"/>
        <w:ind w:left="0" w:firstLine="0"/>
        <w:rPr>
          <w:b w:val="1"/>
          <w:bCs w:val="1"/>
          <w:u w:val="single"/>
        </w:rPr>
      </w:pPr>
    </w:p>
    <w:p>
      <w:pPr>
        <w:pStyle w:val="List Paragraph"/>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1"/>
      </w:numPr>
    </w:pPr>
  </w:style>
  <w:style w:type="numbering" w:styleId="Bullets">
    <w:name w:val="Bullets"/>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